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1D1BB" w14:textId="77777777" w:rsidR="001729FD" w:rsidRDefault="006E5A74">
      <w:pPr>
        <w:rPr>
          <w:rStyle w:val="uficommentbody"/>
          <w:rFonts w:eastAsia="Times New Roman" w:cs="Times New Roman"/>
        </w:rPr>
      </w:pPr>
      <w:r w:rsidRPr="001729FD">
        <w:rPr>
          <w:rStyle w:val="uficommentbody"/>
          <w:rFonts w:eastAsia="Times New Roman" w:cs="Times New Roman"/>
          <w:b/>
        </w:rPr>
        <w:t>LES DIX INFRACTIONS D’ENEDIS</w:t>
      </w:r>
      <w:r w:rsidRPr="001729FD">
        <w:rPr>
          <w:rFonts w:eastAsia="Times New Roman" w:cs="Times New Roman"/>
          <w:b/>
        </w:rPr>
        <w:br/>
      </w:r>
      <w:r>
        <w:rPr>
          <w:rStyle w:val="uficommentbody"/>
          <w:rFonts w:eastAsia="Times New Roman" w:cs="Times New Roman"/>
        </w:rPr>
        <w:t xml:space="preserve">• </w:t>
      </w:r>
      <w:r w:rsidRPr="001729FD">
        <w:rPr>
          <w:rStyle w:val="uficommentbody"/>
          <w:rFonts w:eastAsia="Times New Roman" w:cs="Times New Roman"/>
          <w:b/>
        </w:rPr>
        <w:t>CODE DE LA CONSOMMATION</w:t>
      </w:r>
      <w:r>
        <w:rPr>
          <w:rFonts w:eastAsia="Times New Roman" w:cs="Times New Roman"/>
        </w:rPr>
        <w:br/>
      </w:r>
      <w:r>
        <w:rPr>
          <w:rStyle w:val="uficommentbody"/>
          <w:rFonts w:eastAsia="Times New Roman" w:cs="Times New Roman"/>
        </w:rPr>
        <w:t>1 – Pratiques commerciales agressives interdites par le Code de la consommation, en violation des articles L. 121-6, L. 121-7, L. 132-10 et L. 132-11.</w:t>
      </w:r>
      <w:r>
        <w:rPr>
          <w:rFonts w:eastAsia="Times New Roman" w:cs="Times New Roman"/>
        </w:rPr>
        <w:br/>
      </w:r>
      <w:r>
        <w:rPr>
          <w:rStyle w:val="uficommentbody"/>
          <w:rFonts w:eastAsia="Times New Roman" w:cs="Times New Roman"/>
        </w:rPr>
        <w:t>2 – Violation des articles L. 111-1 et L. 111-2, L. 224-1 à L. 224-7, ainsi que R. 212-1 alinéa 3 et R. 212-2 alinéa 6 du Code de la consommation (interdiction de modifier un contrat unilatéralement).</w:t>
      </w:r>
      <w:r>
        <w:rPr>
          <w:rFonts w:eastAsia="Times New Roman" w:cs="Times New Roman"/>
        </w:rPr>
        <w:br/>
      </w:r>
      <w:r>
        <w:rPr>
          <w:rStyle w:val="uficommentbody"/>
          <w:rFonts w:eastAsia="Times New Roman" w:cs="Times New Roman"/>
        </w:rPr>
        <w:t xml:space="preserve">• </w:t>
      </w:r>
      <w:r w:rsidRPr="001729FD">
        <w:rPr>
          <w:rStyle w:val="uficommentbody"/>
          <w:rFonts w:eastAsia="Times New Roman" w:cs="Times New Roman"/>
          <w:b/>
        </w:rPr>
        <w:t>DROIT COMMUNAUTAIRE</w:t>
      </w:r>
      <w:r>
        <w:rPr>
          <w:rFonts w:eastAsia="Times New Roman" w:cs="Times New Roman"/>
        </w:rPr>
        <w:br/>
      </w:r>
      <w:r>
        <w:rPr>
          <w:rStyle w:val="uficommentbody"/>
          <w:rFonts w:eastAsia="Times New Roman" w:cs="Times New Roman"/>
        </w:rPr>
        <w:t>3 – Installation forcée, hors la loi, en l’absence de la notion d’obligation d’installation, aussi bien dans la réglementation européenne que française</w:t>
      </w:r>
      <w:r>
        <w:rPr>
          <w:rFonts w:eastAsia="Times New Roman" w:cs="Times New Roman"/>
        </w:rPr>
        <w:br/>
      </w:r>
      <w:r>
        <w:rPr>
          <w:rStyle w:val="uficommentbody"/>
          <w:rFonts w:eastAsia="Times New Roman" w:cs="Times New Roman"/>
        </w:rPr>
        <w:t xml:space="preserve">• </w:t>
      </w:r>
      <w:r w:rsidRPr="001729FD">
        <w:rPr>
          <w:rStyle w:val="uficommentbody"/>
          <w:rFonts w:eastAsia="Times New Roman" w:cs="Times New Roman"/>
          <w:b/>
        </w:rPr>
        <w:t>CODE CIVIL ET CODE DES ASSURANCES</w:t>
      </w:r>
      <w:r>
        <w:rPr>
          <w:rFonts w:eastAsia="Times New Roman" w:cs="Times New Roman"/>
        </w:rPr>
        <w:br/>
      </w:r>
      <w:r>
        <w:rPr>
          <w:rStyle w:val="uficommentbody"/>
          <w:rFonts w:eastAsia="Times New Roman" w:cs="Times New Roman"/>
        </w:rPr>
        <w:t>4 – Installation contrainte, hors la loi, en l’absence de l’accord préalable du client et/ou de la signature d’un avenant, obligatoires en pareil cas.</w:t>
      </w:r>
      <w:r>
        <w:rPr>
          <w:rFonts w:eastAsia="Times New Roman" w:cs="Times New Roman"/>
        </w:rPr>
        <w:br/>
      </w:r>
      <w:r>
        <w:rPr>
          <w:rStyle w:val="uficommentbody"/>
          <w:rFonts w:eastAsia="Times New Roman" w:cs="Times New Roman"/>
        </w:rPr>
        <w:t>5 – Violation de l’article 2 du Code civil.</w:t>
      </w:r>
      <w:r>
        <w:rPr>
          <w:rFonts w:eastAsia="Times New Roman" w:cs="Times New Roman"/>
        </w:rPr>
        <w:br/>
      </w:r>
      <w:r>
        <w:rPr>
          <w:rStyle w:val="uficommentbody"/>
          <w:rFonts w:eastAsia="Times New Roman" w:cs="Times New Roman"/>
        </w:rPr>
        <w:t>6 – Pour l’absence de l’assurance responsabilité civile professionnelle et de l’assurance biennale et décennale obligatoires : violation des articles 1792-3, 1792-4 et 1792-4-1 du Code Civil.</w:t>
      </w:r>
      <w:r>
        <w:rPr>
          <w:rFonts w:eastAsia="Times New Roman" w:cs="Times New Roman"/>
        </w:rPr>
        <w:br/>
      </w:r>
      <w:r>
        <w:rPr>
          <w:rStyle w:val="uficommentbody"/>
          <w:rFonts w:eastAsia="Times New Roman" w:cs="Times New Roman"/>
        </w:rPr>
        <w:t xml:space="preserve">• </w:t>
      </w:r>
      <w:r w:rsidRPr="001729FD">
        <w:rPr>
          <w:rStyle w:val="uficommentbody"/>
          <w:rFonts w:eastAsia="Times New Roman" w:cs="Times New Roman"/>
          <w:b/>
        </w:rPr>
        <w:t>CODE PÉNAL</w:t>
      </w:r>
      <w:r>
        <w:rPr>
          <w:rFonts w:eastAsia="Times New Roman" w:cs="Times New Roman"/>
        </w:rPr>
        <w:br/>
      </w:r>
      <w:r>
        <w:rPr>
          <w:rStyle w:val="uficommentbody"/>
          <w:rFonts w:eastAsia="Times New Roman" w:cs="Times New Roman"/>
        </w:rPr>
        <w:t>7 – Pour les compteurs situés à l’extérieur d’une propriété, mais à l’intérieur de son bornage, et remplacés sans l’accord du client : violation des articles 226-4 et 432-8 du Code pénal.</w:t>
      </w:r>
      <w:r>
        <w:rPr>
          <w:rFonts w:eastAsia="Times New Roman" w:cs="Times New Roman"/>
        </w:rPr>
        <w:br/>
      </w:r>
      <w:r>
        <w:rPr>
          <w:rStyle w:val="uficommentbody"/>
          <w:rFonts w:eastAsia="Times New Roman" w:cs="Times New Roman"/>
        </w:rPr>
        <w:t xml:space="preserve">• </w:t>
      </w:r>
      <w:r w:rsidRPr="001729FD">
        <w:rPr>
          <w:rStyle w:val="uficommentbody"/>
          <w:rFonts w:eastAsia="Times New Roman" w:cs="Times New Roman"/>
          <w:b/>
        </w:rPr>
        <w:t>INFRACTION À LA LOI INFORMATIQUE ET LIBERTES – CNIL ET AU CODE DE L’ÉNERGIE</w:t>
      </w:r>
      <w:r>
        <w:rPr>
          <w:rFonts w:eastAsia="Times New Roman" w:cs="Times New Roman"/>
        </w:rPr>
        <w:br/>
      </w:r>
      <w:r>
        <w:rPr>
          <w:rStyle w:val="uficommentbody"/>
          <w:rFonts w:eastAsia="Times New Roman" w:cs="Times New Roman"/>
        </w:rPr>
        <w:t>8 – Pour le transfert des données personnelles des clients entre le compteur et le concentrateur par courant porteur en ligne (CPL) : absence d’une licence d’opérateur Télécom obligatoire, permettant la transmission de données (data) par voie hertzienne ou par ondes radio sur le territoire national, en violation du décret n° 93-534 du 27 mars 1993.</w:t>
      </w:r>
      <w:r>
        <w:rPr>
          <w:rFonts w:eastAsia="Times New Roman" w:cs="Times New Roman"/>
        </w:rPr>
        <w:br/>
      </w:r>
      <w:r>
        <w:rPr>
          <w:rStyle w:val="uficommentbody"/>
          <w:rFonts w:eastAsia="Times New Roman" w:cs="Times New Roman"/>
        </w:rPr>
        <w:t>9 – Concernant la captation et l’utilisation sans autorisation de la courbe de charge et des données personnelles : violation des engagements signés par EDF avec la CNIL en juin 2014, ainsi que de la recommandation de la CNIL du 2 décembre 2010 et de sa délibération du 15 novembre 2012 ; violation de l’article L. 341-4 du Code de l’énergie, ainsi que de l’article 38 de la loi n° 78-17 du 6 janvier 1978 relative à l’informatique, aux fichiers et aux libertés.</w:t>
      </w:r>
      <w:r>
        <w:rPr>
          <w:rFonts w:eastAsia="Times New Roman" w:cs="Times New Roman"/>
        </w:rPr>
        <w:br/>
      </w:r>
      <w:r>
        <w:rPr>
          <w:rStyle w:val="uficommentbody"/>
          <w:rFonts w:eastAsia="Times New Roman" w:cs="Times New Roman"/>
        </w:rPr>
        <w:t xml:space="preserve">• </w:t>
      </w:r>
      <w:r w:rsidRPr="001729FD">
        <w:rPr>
          <w:rStyle w:val="uficommentbody"/>
          <w:rFonts w:eastAsia="Times New Roman" w:cs="Times New Roman"/>
          <w:b/>
        </w:rPr>
        <w:t>VIOLATION DU DÉCRET RELATIF À LA QUALIFICATION PROFESSIONNELLE EXIGÉE</w:t>
      </w:r>
      <w:r>
        <w:rPr>
          <w:rFonts w:eastAsia="Times New Roman" w:cs="Times New Roman"/>
        </w:rPr>
        <w:br/>
      </w:r>
      <w:r>
        <w:rPr>
          <w:rStyle w:val="uficommentbody"/>
          <w:rFonts w:eastAsia="Times New Roman" w:cs="Times New Roman"/>
        </w:rPr>
        <w:t>10 – Pour les emplois non qualifiés des poseurs de LINKY : violation du décret n° 1998-246 «relatif à la qualification professionnelle exigée pour l’exercice des activités prévues à l’article 16 de la loi n° 96-603 du 5 juillet 1996 relative au développement et à la promotion du commerce et de l’artisanat ».</w:t>
      </w:r>
    </w:p>
    <w:p w14:paraId="18F27A2A" w14:textId="43BFD2BD" w:rsidR="009D75BE" w:rsidRPr="001729FD" w:rsidRDefault="006E5A74">
      <w:pPr>
        <w:rPr>
          <w:rStyle w:val="uficommentbody"/>
          <w:rFonts w:eastAsia="Times New Roman" w:cs="Times New Roman"/>
          <w:b/>
        </w:rPr>
      </w:pPr>
      <w:r>
        <w:rPr>
          <w:rFonts w:eastAsia="Times New Roman" w:cs="Times New Roman"/>
        </w:rPr>
        <w:br/>
      </w:r>
      <w:r>
        <w:rPr>
          <w:rStyle w:val="uficommentbody"/>
          <w:rFonts w:eastAsia="Times New Roman" w:cs="Times New Roman"/>
        </w:rPr>
        <w:t>Le Droit de protéger notre SANTE, notre VIE PRIVEE et notre LIBERTE.</w:t>
      </w:r>
      <w:r>
        <w:rPr>
          <w:rFonts w:eastAsia="Times New Roman" w:cs="Times New Roman"/>
        </w:rPr>
        <w:br/>
      </w:r>
      <w:r>
        <w:rPr>
          <w:rStyle w:val="uficommentbody"/>
          <w:rFonts w:eastAsia="Times New Roman" w:cs="Times New Roman"/>
        </w:rPr>
        <w:t>« Il est incroyable de voir comme le peuple, dès qu’il est assujetti, tombe soudain dans un si profond oubli de sa liberté qu’il lui est impossible de se réveiller pour la reconquérir : il sert si bien, et si volontiers, qu’on dirait à le voir qu’il n’a pas seulement perdu sa liberté mais gagné sa servitude… »</w:t>
      </w:r>
      <w:r>
        <w:rPr>
          <w:rFonts w:eastAsia="Times New Roman" w:cs="Times New Roman"/>
        </w:rPr>
        <w:br/>
      </w:r>
      <w:r>
        <w:rPr>
          <w:rStyle w:val="uficommentbody"/>
          <w:rFonts w:eastAsia="Times New Roman" w:cs="Times New Roman"/>
        </w:rPr>
        <w:t>La Boétie, Discours de la servitude volontaire, 1576.</w:t>
      </w:r>
      <w:r>
        <w:rPr>
          <w:rFonts w:eastAsia="Times New Roman" w:cs="Times New Roman"/>
        </w:rPr>
        <w:br/>
      </w:r>
      <w:r>
        <w:rPr>
          <w:rStyle w:val="uficommentbody"/>
          <w:rFonts w:eastAsia="Times New Roman" w:cs="Times New Roman"/>
        </w:rPr>
        <w:t>Merci au collectif Chartres de Bretagne de m’avoir rappelé ce texte.</w:t>
      </w:r>
      <w:r>
        <w:rPr>
          <w:rFonts w:eastAsia="Times New Roman" w:cs="Times New Roman"/>
        </w:rPr>
        <w:br/>
      </w:r>
      <w:r>
        <w:rPr>
          <w:rFonts w:eastAsia="Times New Roman" w:cs="Times New Roman"/>
        </w:rPr>
        <w:br/>
      </w:r>
      <w:r w:rsidRPr="001729FD">
        <w:rPr>
          <w:rStyle w:val="uficommentbody"/>
          <w:rFonts w:eastAsia="Times New Roman" w:cs="Times New Roman"/>
          <w:b/>
        </w:rPr>
        <w:lastRenderedPageBreak/>
        <w:t>ET J’AJOUTERAI QU’ILS DOIVENT FOUR</w:t>
      </w:r>
      <w:bookmarkStart w:id="0" w:name="_GoBack"/>
      <w:bookmarkEnd w:id="0"/>
      <w:r w:rsidRPr="001729FD">
        <w:rPr>
          <w:rStyle w:val="uficommentbody"/>
          <w:rFonts w:eastAsia="Times New Roman" w:cs="Times New Roman"/>
          <w:b/>
        </w:rPr>
        <w:t>NIR LA PREUVE DE LA NON DANGEROSITÉ DES FRÉQUENCES ÉM</w:t>
      </w:r>
      <w:r w:rsidR="001729FD" w:rsidRPr="001729FD">
        <w:rPr>
          <w:rStyle w:val="uficommentbody"/>
          <w:rFonts w:eastAsia="Times New Roman" w:cs="Times New Roman"/>
          <w:b/>
        </w:rPr>
        <w:t>ISES POUR LA</w:t>
      </w:r>
      <w:r w:rsidRPr="001729FD">
        <w:rPr>
          <w:rStyle w:val="uficommentbody"/>
          <w:rFonts w:eastAsia="Times New Roman" w:cs="Times New Roman"/>
          <w:b/>
        </w:rPr>
        <w:t xml:space="preserve"> SANTÉ DES OCCUPANTS</w:t>
      </w:r>
    </w:p>
    <w:p w14:paraId="29456E68" w14:textId="77777777" w:rsidR="0045301E" w:rsidRDefault="0045301E">
      <w:pPr>
        <w:rPr>
          <w:rStyle w:val="uficommentbody"/>
          <w:rFonts w:eastAsia="Times New Roman" w:cs="Times New Roman"/>
        </w:rPr>
      </w:pPr>
    </w:p>
    <w:p w14:paraId="67A95AC1" w14:textId="77777777" w:rsidR="0045301E" w:rsidRDefault="0045301E">
      <w:r>
        <w:rPr>
          <w:rStyle w:val="uficommentbody"/>
          <w:rFonts w:eastAsia="Times New Roman" w:cs="Times New Roman"/>
        </w:rPr>
        <w:t>Réponse à faire.</w:t>
      </w:r>
      <w:r>
        <w:rPr>
          <w:rFonts w:eastAsia="Times New Roman" w:cs="Times New Roman"/>
        </w:rPr>
        <w:br/>
      </w:r>
      <w:r>
        <w:rPr>
          <w:rStyle w:val="uficommentbody"/>
          <w:rFonts w:eastAsia="Times New Roman" w:cs="Times New Roman"/>
        </w:rPr>
        <w:t xml:space="preserve">Je vous prie de me communiquer </w:t>
      </w:r>
      <w:proofErr w:type="gramStart"/>
      <w:r>
        <w:rPr>
          <w:rStyle w:val="uficommentbody"/>
          <w:rFonts w:eastAsia="Times New Roman" w:cs="Times New Roman"/>
        </w:rPr>
        <w:t>:</w:t>
      </w:r>
      <w:proofErr w:type="gramEnd"/>
      <w:r>
        <w:rPr>
          <w:rFonts w:eastAsia="Times New Roman" w:cs="Times New Roman"/>
        </w:rPr>
        <w:br/>
      </w:r>
      <w:r>
        <w:rPr>
          <w:rStyle w:val="uficommentbody"/>
          <w:rFonts w:eastAsia="Times New Roman" w:cs="Times New Roman"/>
        </w:rPr>
        <w:t>Concernant Article A341-1 du code de l’assurance et non de l’énergie :</w:t>
      </w:r>
      <w:r>
        <w:rPr>
          <w:rFonts w:eastAsia="Times New Roman" w:cs="Times New Roman"/>
        </w:rPr>
        <w:br/>
      </w:r>
      <w:r>
        <w:rPr>
          <w:rStyle w:val="uficommentbody"/>
          <w:rFonts w:eastAsia="Times New Roman" w:cs="Times New Roman"/>
        </w:rPr>
        <w:t xml:space="preserve">1) L’attestation d’autorisation à dérogation en vertu du 1° alinéa </w:t>
      </w:r>
      <w:r>
        <w:rPr>
          <w:rFonts w:eastAsia="Times New Roman" w:cs="Times New Roman"/>
        </w:rPr>
        <w:br/>
      </w:r>
      <w:r>
        <w:rPr>
          <w:rStyle w:val="uficommentbody"/>
          <w:rFonts w:eastAsia="Times New Roman" w:cs="Times New Roman"/>
        </w:rPr>
        <w:t xml:space="preserve">2) Copie des justificatifs d’information compte tenu du peu de recul de cette technologie expérimentée en vertu du 2° alinéa </w:t>
      </w:r>
      <w:r>
        <w:rPr>
          <w:rFonts w:eastAsia="Times New Roman" w:cs="Times New Roman"/>
        </w:rPr>
        <w:br/>
      </w:r>
      <w:r>
        <w:rPr>
          <w:rStyle w:val="uficommentbody"/>
          <w:rFonts w:eastAsia="Times New Roman" w:cs="Times New Roman"/>
        </w:rPr>
        <w:t>Certaines clauses de vos dernières CGV et Le nombre de sinistres rapportés par les médias, en particulier ceux, plus récents de Toulouse, me font douter de cette dérogation.</w:t>
      </w:r>
      <w:r>
        <w:rPr>
          <w:rFonts w:eastAsia="Times New Roman" w:cs="Times New Roman"/>
        </w:rPr>
        <w:br/>
      </w:r>
      <w:r>
        <w:rPr>
          <w:rStyle w:val="uficommentbody"/>
          <w:rFonts w:eastAsia="Times New Roman" w:cs="Times New Roman"/>
        </w:rPr>
        <w:t>De plus, cela ne vous exonère pas de la responsabilité et contrôles de vos sous-traitants, en vertu de quoi, je souhaite copie de l’attestation, à jour de cotisations, de la RC pro et dommages ouvrages de votre sous-traitant local prévu pour ces travaux à mon domicile, en particulier pour les risques CEM.</w:t>
      </w:r>
      <w:r>
        <w:rPr>
          <w:rFonts w:eastAsia="Times New Roman" w:cs="Times New Roman"/>
        </w:rPr>
        <w:br/>
      </w:r>
      <w:r>
        <w:rPr>
          <w:rStyle w:val="uficommentbody"/>
          <w:rFonts w:eastAsia="Times New Roman" w:cs="Times New Roman"/>
        </w:rPr>
        <w:t>De plus j’ai actuellement un contrat (CGV) qui nous lie mutuellement, et pour lequel je n’ai accepté aucunes clauses supplémentaires, et dont aucune loi ne l’a abrogée malgré les clauses abusives qu’il comporte suivant : Décret n° 2016-884 du 29 juin 2016 relatif à la partie réglementaire du code de la consommation et l’Ordonnance n° 2016-131 du 10 février 2016 portant réforme du droit des contrats. Notre contrat stipule que vous êtes tenu à me fournir un courant électrique de 220v avec une seule fréquence de 50Hz en conformité avec la norme NF EN 50 160.</w:t>
      </w:r>
      <w:r>
        <w:rPr>
          <w:rFonts w:eastAsia="Times New Roman" w:cs="Times New Roman"/>
        </w:rPr>
        <w:br/>
      </w:r>
      <w:r>
        <w:rPr>
          <w:rStyle w:val="uficommentbody"/>
          <w:rFonts w:eastAsia="Times New Roman" w:cs="Times New Roman"/>
        </w:rPr>
        <w:t>Concernant, les articles R.341-4 à R.341-6 et R.341-8 du code de l'Energie).</w:t>
      </w:r>
      <w:r>
        <w:rPr>
          <w:rFonts w:eastAsia="Times New Roman" w:cs="Times New Roman"/>
        </w:rPr>
        <w:br/>
      </w:r>
      <w:r>
        <w:rPr>
          <w:rStyle w:val="uficommentbody"/>
          <w:rFonts w:eastAsia="Times New Roman" w:cs="Times New Roman"/>
        </w:rPr>
        <w:t xml:space="preserve">De me communiquer le texte exact rendant légal le compteur </w:t>
      </w:r>
      <w:proofErr w:type="spellStart"/>
      <w:r>
        <w:rPr>
          <w:rStyle w:val="uficommentbody"/>
          <w:rFonts w:eastAsia="Times New Roman" w:cs="Times New Roman"/>
        </w:rPr>
        <w:t>linky</w:t>
      </w:r>
      <w:proofErr w:type="spellEnd"/>
      <w:r>
        <w:rPr>
          <w:rStyle w:val="uficommentbody"/>
          <w:rFonts w:eastAsia="Times New Roman" w:cs="Times New Roman"/>
        </w:rPr>
        <w:t xml:space="preserve"> et non des articles de loi vous autorisant à mettre en œuvre juste un concept. Ces mêmes articles qui n’encadrent en rien ni la technologie employée ni un éventuel cahier des charges.</w:t>
      </w:r>
      <w:r>
        <w:rPr>
          <w:rFonts w:eastAsia="Times New Roman" w:cs="Times New Roman"/>
        </w:rPr>
        <w:br/>
      </w:r>
      <w:r>
        <w:rPr>
          <w:rStyle w:val="uficommentbody"/>
          <w:rFonts w:eastAsia="Times New Roman" w:cs="Times New Roman"/>
        </w:rPr>
        <w:t>De me communiquer, enfin, la loi vous autorisant à injecter, par le biais du CPL, de nouvelles fréquences dans mon domicile qui nuisent gravement à mes appareils électriques et à ma domotique alors qu’il y a peu vous m’interdisiez l’usage, chez moi, de certaines fréquences pouvant nuire à votre réseau.</w:t>
      </w:r>
    </w:p>
    <w:sectPr w:rsidR="0045301E" w:rsidSect="009D75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74"/>
    <w:rsid w:val="001729FD"/>
    <w:rsid w:val="0045301E"/>
    <w:rsid w:val="006E5A74"/>
    <w:rsid w:val="009D75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9AB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ficommentbody">
    <w:name w:val="uficommentbody"/>
    <w:basedOn w:val="Policepardfaut"/>
    <w:rsid w:val="006E5A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ficommentbody">
    <w:name w:val="uficommentbody"/>
    <w:basedOn w:val="Policepardfaut"/>
    <w:rsid w:val="006E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783</Words>
  <Characters>4311</Characters>
  <Application>Microsoft Macintosh Word</Application>
  <DocSecurity>0</DocSecurity>
  <Lines>35</Lines>
  <Paragraphs>10</Paragraphs>
  <ScaleCrop>false</ScaleCrop>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doublet</dc:creator>
  <cp:keywords/>
  <dc:description/>
  <cp:lastModifiedBy>irene doublet</cp:lastModifiedBy>
  <cp:revision>3</cp:revision>
  <cp:lastPrinted>2017-11-29T10:27:00Z</cp:lastPrinted>
  <dcterms:created xsi:type="dcterms:W3CDTF">2017-11-29T06:47:00Z</dcterms:created>
  <dcterms:modified xsi:type="dcterms:W3CDTF">2017-11-29T10:29:00Z</dcterms:modified>
</cp:coreProperties>
</file>