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5D" w:rsidRPr="001E5D7C" w:rsidRDefault="00B108E6" w:rsidP="00D3575D">
      <w:pPr>
        <w:ind w:firstLine="0"/>
        <w:rPr>
          <w:rFonts w:ascii="TimesNewRomanPSMT" w:hAnsi="TimesNewRomanPSMT" w:cs="TimesNewRomanPSMT"/>
          <w:color w:val="000000"/>
          <w:szCs w:val="24"/>
        </w:rPr>
      </w:pPr>
      <w:r w:rsidRPr="00B108E6">
        <w:rPr>
          <w:rFonts w:ascii="TimesNewRomanPSMT" w:hAnsi="TimesNewRomanPSMT" w:cs="TimesNewRomanPSMT"/>
          <w:b/>
          <w:color w:val="000000"/>
          <w:szCs w:val="24"/>
        </w:rPr>
        <w:t>Conférence de Yann RICHARD</w:t>
      </w:r>
      <w:r w:rsidR="00073825">
        <w:rPr>
          <w:rFonts w:ascii="TimesNewRomanPSMT" w:hAnsi="TimesNewRomanPSMT" w:cs="TimesNewRomanPSMT"/>
          <w:b/>
          <w:color w:val="000000"/>
          <w:szCs w:val="24"/>
        </w:rPr>
        <w:t xml:space="preserve"> sur le thème : </w:t>
      </w:r>
    </w:p>
    <w:p w:rsidR="00F11098" w:rsidRDefault="00D3575D" w:rsidP="00D3575D">
      <w:pPr>
        <w:ind w:firstLine="0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B108E6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« Les colères et les écueils dans les relations entre l’Iran et </w:t>
      </w:r>
      <w:r w:rsidR="00F11098" w:rsidRPr="00B108E6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l’Europe depuis </w:t>
      </w:r>
      <w:r w:rsidR="00842873" w:rsidRPr="00B108E6">
        <w:rPr>
          <w:rFonts w:ascii="TimesNewRomanPSMT" w:hAnsi="TimesNewRomanPSMT" w:cs="TimesNewRomanPSMT"/>
          <w:b/>
          <w:color w:val="000000"/>
          <w:sz w:val="28"/>
          <w:szCs w:val="28"/>
        </w:rPr>
        <w:t>le XIX</w:t>
      </w:r>
      <w:r w:rsidR="00842873" w:rsidRPr="00B108E6">
        <w:rPr>
          <w:rFonts w:ascii="TimesNewRomanPSMT" w:hAnsi="TimesNewRomanPSMT" w:cs="TimesNewRomanPSMT"/>
          <w:b/>
          <w:color w:val="000000"/>
          <w:sz w:val="28"/>
          <w:szCs w:val="28"/>
          <w:vertAlign w:val="superscript"/>
        </w:rPr>
        <w:t>e</w:t>
      </w:r>
      <w:r w:rsidR="00842873" w:rsidRPr="00B108E6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siècle </w:t>
      </w:r>
      <w:r w:rsidR="00F11098" w:rsidRPr="00B108E6">
        <w:rPr>
          <w:rFonts w:ascii="TimesNewRomanPSMT" w:hAnsi="TimesNewRomanPSMT" w:cs="TimesNewRomanPSMT"/>
          <w:b/>
          <w:color w:val="000000"/>
          <w:sz w:val="28"/>
          <w:szCs w:val="28"/>
        </w:rPr>
        <w:t>»</w:t>
      </w:r>
    </w:p>
    <w:p w:rsidR="00073825" w:rsidRDefault="00073825" w:rsidP="00D3575D">
      <w:pPr>
        <w:ind w:firstLine="0"/>
        <w:rPr>
          <w:rFonts w:ascii="TimesNewRomanPSMT" w:hAnsi="TimesNewRomanPSMT" w:cs="TimesNewRomanPSMT"/>
          <w:b/>
          <w:szCs w:val="24"/>
        </w:rPr>
      </w:pPr>
      <w:proofErr w:type="gramStart"/>
      <w:r w:rsidRPr="00B108E6">
        <w:rPr>
          <w:rFonts w:ascii="TimesNewRomanPSMT" w:hAnsi="TimesNewRomanPSMT" w:cs="TimesNewRomanPSMT"/>
          <w:b/>
          <w:color w:val="000000"/>
          <w:szCs w:val="24"/>
        </w:rPr>
        <w:t>le</w:t>
      </w:r>
      <w:proofErr w:type="gramEnd"/>
      <w:r w:rsidRPr="00B108E6">
        <w:rPr>
          <w:rFonts w:ascii="TimesNewRomanPSMT" w:hAnsi="TimesNewRomanPSMT" w:cs="TimesNewRomanPSMT"/>
          <w:b/>
          <w:color w:val="000000"/>
          <w:szCs w:val="24"/>
        </w:rPr>
        <w:t xml:space="preserve"> samedi 2</w:t>
      </w:r>
      <w:r>
        <w:rPr>
          <w:rFonts w:ascii="TimesNewRomanPSMT" w:hAnsi="TimesNewRomanPSMT" w:cs="TimesNewRomanPSMT"/>
          <w:b/>
          <w:color w:val="000000"/>
          <w:szCs w:val="24"/>
        </w:rPr>
        <w:t>7</w:t>
      </w:r>
      <w:r w:rsidRPr="00B108E6">
        <w:rPr>
          <w:rFonts w:ascii="TimesNewRomanPSMT" w:hAnsi="TimesNewRomanPSMT" w:cs="TimesNewRomanPSMT"/>
          <w:b/>
          <w:color w:val="000000"/>
          <w:szCs w:val="24"/>
        </w:rPr>
        <w:t xml:space="preserve"> janvier 2018</w:t>
      </w:r>
      <w:r>
        <w:rPr>
          <w:rFonts w:ascii="TimesNewRomanPSMT" w:hAnsi="TimesNewRomanPSMT" w:cs="TimesNewRomanPSMT"/>
          <w:b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b/>
          <w:szCs w:val="24"/>
        </w:rPr>
        <w:t>à 15 h 30</w:t>
      </w:r>
    </w:p>
    <w:p w:rsidR="00073825" w:rsidRDefault="00073825" w:rsidP="00D3575D">
      <w:pPr>
        <w:ind w:firstLine="0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szCs w:val="24"/>
        </w:rPr>
        <w:t xml:space="preserve">à la librairie-salon de thé </w:t>
      </w:r>
      <w:r>
        <w:rPr>
          <w:b/>
          <w:szCs w:val="24"/>
        </w:rPr>
        <w:t>"</w:t>
      </w:r>
      <w:r>
        <w:rPr>
          <w:rFonts w:ascii="TimesNewRomanPSMT" w:hAnsi="TimesNewRomanPSMT" w:cs="TimesNewRomanPSMT"/>
          <w:b/>
          <w:szCs w:val="24"/>
        </w:rPr>
        <w:t>The Place To Be</w:t>
      </w:r>
      <w:r>
        <w:rPr>
          <w:b/>
          <w:szCs w:val="24"/>
        </w:rPr>
        <w:t>"</w:t>
      </w:r>
      <w:r>
        <w:rPr>
          <w:rFonts w:ascii="TimesNewRomanPSMT" w:hAnsi="TimesNewRomanPSMT" w:cs="TimesNewRomanPSMT"/>
          <w:b/>
          <w:szCs w:val="24"/>
        </w:rPr>
        <w:t xml:space="preserve">, Maison de l’Arbre de </w:t>
      </w:r>
      <w:proofErr w:type="spellStart"/>
      <w:r>
        <w:rPr>
          <w:rFonts w:ascii="TimesNewRomanPSMT" w:hAnsi="TimesNewRomanPSMT" w:cs="TimesNewRomanPSMT"/>
          <w:b/>
          <w:szCs w:val="24"/>
        </w:rPr>
        <w:t>Jessé</w:t>
      </w:r>
      <w:proofErr w:type="spellEnd"/>
      <w:r>
        <w:rPr>
          <w:rFonts w:ascii="TimesNewRomanPSMT" w:hAnsi="TimesNewRomanPSMT" w:cs="TimesNewRomanPSMT"/>
          <w:b/>
          <w:szCs w:val="24"/>
        </w:rPr>
        <w:t>, 12 rue Montant-au-Palais – Joigny (09 81 06 09 98 – libtheplacetobe.fr)</w:t>
      </w:r>
    </w:p>
    <w:p w:rsidR="00842873" w:rsidRPr="001E5D7C" w:rsidRDefault="00842873" w:rsidP="00584948">
      <w:pPr>
        <w:ind w:firstLine="0"/>
        <w:rPr>
          <w:rFonts w:ascii="TimesNewRomanPSMT" w:hAnsi="TimesNewRomanPSMT" w:cs="TimesNewRomanPSMT"/>
          <w:color w:val="000000"/>
          <w:szCs w:val="24"/>
        </w:rPr>
      </w:pPr>
    </w:p>
    <w:p w:rsidR="00842873" w:rsidRPr="001E5D7C" w:rsidRDefault="00F11098" w:rsidP="00B108E6">
      <w:pPr>
        <w:ind w:firstLine="0"/>
        <w:jc w:val="both"/>
        <w:rPr>
          <w:rFonts w:ascii="TimesNewRomanPSMT" w:hAnsi="TimesNewRomanPSMT" w:cs="TimesNewRomanPSMT"/>
          <w:color w:val="000000"/>
          <w:szCs w:val="24"/>
        </w:rPr>
      </w:pPr>
      <w:r w:rsidRPr="001E5D7C">
        <w:rPr>
          <w:rFonts w:ascii="TimesNewRomanPSMT" w:hAnsi="TimesNewRomanPSMT" w:cs="TimesNewRomanPSMT"/>
          <w:color w:val="000000"/>
          <w:szCs w:val="24"/>
        </w:rPr>
        <w:t xml:space="preserve">La Révolution iranienne de 1979, appelée « islamique », a des causes historiques qu’on peut faire remonter aux ingérences européennes dans ce pays dès le début du </w:t>
      </w:r>
      <w:r w:rsidR="00842873" w:rsidRPr="001E5D7C">
        <w:rPr>
          <w:rFonts w:ascii="TimesNewRomanPSMT" w:hAnsi="TimesNewRomanPSMT" w:cs="TimesNewRomanPSMT"/>
          <w:color w:val="000000"/>
          <w:szCs w:val="24"/>
        </w:rPr>
        <w:t>XIX</w:t>
      </w:r>
      <w:r w:rsidR="00842873" w:rsidRPr="00B108E6">
        <w:rPr>
          <w:rFonts w:ascii="TimesNewRomanPSMT" w:hAnsi="TimesNewRomanPSMT" w:cs="TimesNewRomanPSMT"/>
          <w:color w:val="000000"/>
          <w:szCs w:val="24"/>
          <w:vertAlign w:val="superscript"/>
        </w:rPr>
        <w:t>e</w:t>
      </w:r>
      <w:r w:rsidRPr="001E5D7C">
        <w:rPr>
          <w:rFonts w:ascii="TimesNewRomanPSMT" w:hAnsi="TimesNewRomanPSMT" w:cs="TimesNewRomanPSMT"/>
          <w:color w:val="000000"/>
          <w:szCs w:val="24"/>
        </w:rPr>
        <w:t xml:space="preserve"> siècle. Les guerres (avec les Russes et les Britanniques), les pertes de territoire, les humiliations, les inégalités commerci</w:t>
      </w:r>
      <w:r w:rsidR="00842873" w:rsidRPr="001E5D7C">
        <w:rPr>
          <w:rFonts w:ascii="TimesNewRomanPSMT" w:hAnsi="TimesNewRomanPSMT" w:cs="TimesNewRomanPSMT"/>
          <w:color w:val="000000"/>
          <w:szCs w:val="24"/>
        </w:rPr>
        <w:t>ales, la dépendance croissante</w:t>
      </w:r>
      <w:r w:rsidRPr="001E5D7C">
        <w:rPr>
          <w:rFonts w:ascii="TimesNewRomanPSMT" w:hAnsi="TimesNewRomanPSMT" w:cs="TimesNewRomanPSMT"/>
          <w:color w:val="000000"/>
          <w:szCs w:val="24"/>
        </w:rPr>
        <w:t xml:space="preserve">… ont permis l’émergence dans la nation iranienne d’un désir d’accéder à la pleine souveraineté. À plusieurs périodes, révoltes, révolutions, ou fièvre nationaliste, le peuple iranien a réveillé son désir d’indépendance. La révolution de 1979 a-t-elle permis de répondre à cette attente ? </w:t>
      </w:r>
      <w:r w:rsidR="00842873" w:rsidRPr="001E5D7C">
        <w:rPr>
          <w:rFonts w:ascii="TimesNewRomanPSMT" w:hAnsi="TimesNewRomanPSMT" w:cs="TimesNewRomanPSMT"/>
          <w:color w:val="000000"/>
          <w:szCs w:val="24"/>
        </w:rPr>
        <w:t>La signature de l’Accord</w:t>
      </w:r>
      <w:r w:rsidR="00584948" w:rsidRPr="001E5D7C">
        <w:rPr>
          <w:rFonts w:ascii="TimesNewRomanPSMT" w:hAnsi="TimesNewRomanPSMT" w:cs="TimesNewRomanPSMT"/>
          <w:color w:val="000000"/>
          <w:szCs w:val="24"/>
        </w:rPr>
        <w:t xml:space="preserve"> sur le nucléaire à Vi</w:t>
      </w:r>
      <w:bookmarkStart w:id="0" w:name="_GoBack"/>
      <w:bookmarkEnd w:id="0"/>
      <w:r w:rsidR="00584948" w:rsidRPr="001E5D7C">
        <w:rPr>
          <w:rFonts w:ascii="TimesNewRomanPSMT" w:hAnsi="TimesNewRomanPSMT" w:cs="TimesNewRomanPSMT"/>
          <w:color w:val="000000"/>
          <w:szCs w:val="24"/>
        </w:rPr>
        <w:t>enne en juillet 2015 et l</w:t>
      </w:r>
      <w:r w:rsidRPr="001E5D7C">
        <w:rPr>
          <w:rFonts w:ascii="TimesNewRomanPSMT" w:hAnsi="TimesNewRomanPSMT" w:cs="TimesNewRomanPSMT"/>
          <w:color w:val="000000"/>
          <w:szCs w:val="24"/>
        </w:rPr>
        <w:t xml:space="preserve">es interventions actuelles de l’Iran sur différents fronts au Moyen-Orient </w:t>
      </w:r>
      <w:r w:rsidR="00584948" w:rsidRPr="001E5D7C">
        <w:rPr>
          <w:rFonts w:ascii="TimesNewRomanPSMT" w:hAnsi="TimesNewRomanPSMT" w:cs="TimesNewRomanPSMT"/>
          <w:color w:val="000000"/>
          <w:szCs w:val="24"/>
        </w:rPr>
        <w:t>permettent-</w:t>
      </w:r>
      <w:r w:rsidR="00B108E6">
        <w:rPr>
          <w:rFonts w:ascii="TimesNewRomanPSMT" w:hAnsi="TimesNewRomanPSMT" w:cs="TimesNewRomanPSMT"/>
          <w:color w:val="000000"/>
          <w:szCs w:val="24"/>
        </w:rPr>
        <w:t>elle</w:t>
      </w:r>
      <w:r w:rsidR="00584948" w:rsidRPr="001E5D7C">
        <w:rPr>
          <w:rFonts w:ascii="TimesNewRomanPSMT" w:hAnsi="TimesNewRomanPSMT" w:cs="TimesNewRomanPSMT"/>
          <w:color w:val="000000"/>
          <w:szCs w:val="24"/>
        </w:rPr>
        <w:t>s la stabilisation de cette agitation nationaliste ?</w:t>
      </w:r>
    </w:p>
    <w:p w:rsidR="00B17E38" w:rsidRPr="001E5D7C" w:rsidRDefault="00584948" w:rsidP="00B108E6">
      <w:pPr>
        <w:ind w:firstLine="0"/>
        <w:jc w:val="both"/>
        <w:rPr>
          <w:rFonts w:ascii="TimesNewRomanPSMT" w:hAnsi="TimesNewRomanPSMT" w:cs="TimesNewRomanPSMT"/>
          <w:color w:val="000000"/>
          <w:szCs w:val="24"/>
        </w:rPr>
      </w:pPr>
      <w:r w:rsidRPr="001E5D7C">
        <w:rPr>
          <w:rFonts w:ascii="TimesNewRomanPSMT" w:hAnsi="TimesNewRomanPSMT" w:cs="TimesNewRomanPSMT"/>
          <w:color w:val="000000"/>
          <w:szCs w:val="24"/>
        </w:rPr>
        <w:t>Le but de la conférence est de mieux comprendre la place de l’Iran dans une région très perturbée.</w:t>
      </w:r>
    </w:p>
    <w:p w:rsidR="00B17E38" w:rsidRPr="001E5D7C" w:rsidRDefault="00B17E38" w:rsidP="00B108E6">
      <w:pPr>
        <w:ind w:firstLine="0"/>
        <w:jc w:val="both"/>
        <w:rPr>
          <w:rFonts w:ascii="TimesNewRomanPSMT" w:hAnsi="TimesNewRomanPSMT" w:cs="TimesNewRomanPSMT"/>
          <w:color w:val="000000"/>
          <w:szCs w:val="24"/>
        </w:rPr>
      </w:pPr>
    </w:p>
    <w:p w:rsidR="00584948" w:rsidRPr="001E5D7C" w:rsidRDefault="00584948" w:rsidP="00B108E6">
      <w:pPr>
        <w:ind w:firstLine="0"/>
        <w:jc w:val="both"/>
        <w:rPr>
          <w:rFonts w:ascii="TimesNewRomanPSMT" w:hAnsi="TimesNewRomanPSMT" w:cs="TimesNewRomanPSMT"/>
          <w:color w:val="000000"/>
          <w:szCs w:val="24"/>
        </w:rPr>
      </w:pPr>
      <w:r w:rsidRPr="001E5D7C">
        <w:rPr>
          <w:rFonts w:ascii="TimesNewRomanPSMT" w:hAnsi="TimesNewRomanPSMT" w:cs="TimesNewRomanPSMT"/>
          <w:color w:val="000000"/>
          <w:szCs w:val="24"/>
        </w:rPr>
        <w:t>Yann Rich</w:t>
      </w:r>
      <w:r w:rsidR="00842873" w:rsidRPr="001E5D7C">
        <w:rPr>
          <w:rFonts w:ascii="TimesNewRomanPSMT" w:hAnsi="TimesNewRomanPSMT" w:cs="TimesNewRomanPSMT"/>
          <w:color w:val="000000"/>
          <w:szCs w:val="24"/>
        </w:rPr>
        <w:t xml:space="preserve">ard a vécu huit ans en Iran, </w:t>
      </w:r>
      <w:r w:rsidRPr="001E5D7C">
        <w:rPr>
          <w:rFonts w:ascii="TimesNewRomanPSMT" w:hAnsi="TimesNewRomanPSMT" w:cs="TimesNewRomanPSMT"/>
          <w:color w:val="000000"/>
          <w:szCs w:val="24"/>
        </w:rPr>
        <w:t>notamment pendant la révolution de 1979</w:t>
      </w:r>
      <w:r w:rsidR="00842873" w:rsidRPr="001E5D7C">
        <w:rPr>
          <w:rFonts w:ascii="TimesNewRomanPSMT" w:hAnsi="TimesNewRomanPSMT" w:cs="TimesNewRomanPSMT"/>
          <w:color w:val="000000"/>
          <w:szCs w:val="24"/>
        </w:rPr>
        <w:t>,</w:t>
      </w:r>
      <w:r w:rsidRPr="001E5D7C">
        <w:rPr>
          <w:rFonts w:ascii="TimesNewRomanPSMT" w:hAnsi="TimesNewRomanPSMT" w:cs="TimesNewRomanPSMT"/>
          <w:color w:val="000000"/>
          <w:szCs w:val="24"/>
        </w:rPr>
        <w:t xml:space="preserve"> et il y est retourné souvent depuis. Il a été chargé de recherche au CNRS puis professeur à la Sorbonne </w:t>
      </w:r>
      <w:r w:rsidR="00B108E6">
        <w:rPr>
          <w:rFonts w:ascii="TimesNewRomanPSMT" w:hAnsi="TimesNewRomanPSMT" w:cs="TimesNewRomanPSMT"/>
          <w:color w:val="000000"/>
          <w:szCs w:val="24"/>
        </w:rPr>
        <w:t>N</w:t>
      </w:r>
      <w:r w:rsidRPr="001E5D7C">
        <w:rPr>
          <w:rFonts w:ascii="TimesNewRomanPSMT" w:hAnsi="TimesNewRomanPSMT" w:cs="TimesNewRomanPSMT"/>
          <w:color w:val="000000"/>
          <w:szCs w:val="24"/>
        </w:rPr>
        <w:t xml:space="preserve">ouvelle. Il est l’auteur de nombreux </w:t>
      </w:r>
      <w:r w:rsidR="00842873" w:rsidRPr="001E5D7C">
        <w:rPr>
          <w:rFonts w:ascii="TimesNewRomanPSMT" w:hAnsi="TimesNewRomanPSMT" w:cs="TimesNewRomanPSMT"/>
          <w:color w:val="000000"/>
          <w:szCs w:val="24"/>
        </w:rPr>
        <w:t>ouvrage</w:t>
      </w:r>
      <w:r w:rsidRPr="001E5D7C">
        <w:rPr>
          <w:rFonts w:ascii="TimesNewRomanPSMT" w:hAnsi="TimesNewRomanPSMT" w:cs="TimesNewRomanPSMT"/>
          <w:color w:val="000000"/>
          <w:szCs w:val="24"/>
        </w:rPr>
        <w:t>s</w:t>
      </w:r>
      <w:r w:rsidR="00B108E6">
        <w:rPr>
          <w:rFonts w:ascii="TimesNewRomanPSMT" w:hAnsi="TimesNewRomanPSMT" w:cs="TimesNewRomanPSMT"/>
          <w:color w:val="000000"/>
          <w:szCs w:val="24"/>
        </w:rPr>
        <w:t>,</w:t>
      </w:r>
      <w:r w:rsidRPr="001E5D7C">
        <w:rPr>
          <w:rFonts w:ascii="TimesNewRomanPSMT" w:hAnsi="TimesNewRomanPSMT" w:cs="TimesNewRomanPSMT"/>
          <w:color w:val="000000"/>
          <w:szCs w:val="24"/>
        </w:rPr>
        <w:t xml:space="preserve"> notamment de </w:t>
      </w:r>
      <w:r w:rsidRPr="001E5D7C">
        <w:rPr>
          <w:rFonts w:ascii="TimesNewRomanPSMT" w:hAnsi="TimesNewRomanPSMT" w:cs="TimesNewRomanPSMT"/>
          <w:i/>
          <w:iCs/>
          <w:color w:val="000000"/>
          <w:szCs w:val="24"/>
        </w:rPr>
        <w:t>L</w:t>
      </w:r>
      <w:r w:rsidRPr="001E5D7C">
        <w:rPr>
          <w:rFonts w:ascii="Helvetica" w:eastAsia="Helvetica" w:hAnsi="Helvetica" w:cs="Helvetica"/>
          <w:i/>
          <w:iCs/>
          <w:color w:val="000000"/>
          <w:szCs w:val="24"/>
        </w:rPr>
        <w:t>’</w:t>
      </w:r>
      <w:r w:rsidRPr="001E5D7C">
        <w:rPr>
          <w:rFonts w:ascii="TimesNewRomanPSMT" w:hAnsi="TimesNewRomanPSMT" w:cs="TimesNewRomanPSMT"/>
          <w:i/>
          <w:iCs/>
          <w:color w:val="000000"/>
          <w:szCs w:val="24"/>
        </w:rPr>
        <w:t>islam chi</w:t>
      </w:r>
      <w:r w:rsidRPr="001E5D7C">
        <w:rPr>
          <w:rFonts w:ascii="Helvetica" w:eastAsia="Helvetica" w:hAnsi="Helvetica" w:cs="Helvetica"/>
          <w:i/>
          <w:iCs/>
          <w:color w:val="000000"/>
          <w:szCs w:val="24"/>
        </w:rPr>
        <w:t>’</w:t>
      </w:r>
      <w:r w:rsidRPr="001E5D7C">
        <w:rPr>
          <w:rFonts w:ascii="TimesNewRomanPSMT" w:hAnsi="TimesNewRomanPSMT" w:cs="TimesNewRomanPSMT"/>
          <w:i/>
          <w:iCs/>
          <w:color w:val="000000"/>
          <w:szCs w:val="24"/>
        </w:rPr>
        <w:t>ite, croyances et idéologies</w:t>
      </w:r>
      <w:r w:rsidRPr="001E5D7C">
        <w:rPr>
          <w:rFonts w:ascii="TimesNewRomanPSMT" w:hAnsi="TimesNewRomanPSMT" w:cs="TimesNewRomanPSMT"/>
          <w:color w:val="000000"/>
          <w:szCs w:val="24"/>
        </w:rPr>
        <w:t xml:space="preserve"> (Paris, Fayard, </w:t>
      </w:r>
      <w:r w:rsidR="00AB5B20" w:rsidRPr="001E5D7C">
        <w:rPr>
          <w:rFonts w:ascii="TimesNewRomanPSMT" w:hAnsi="TimesNewRomanPSMT" w:cs="TimesNewRomanPSMT"/>
          <w:color w:val="000000"/>
          <w:szCs w:val="24"/>
        </w:rPr>
        <w:t>1991)</w:t>
      </w:r>
      <w:r w:rsidR="00B108E6">
        <w:rPr>
          <w:rFonts w:ascii="TimesNewRomanPSMT" w:hAnsi="TimesNewRomanPSMT" w:cs="TimesNewRomanPSMT"/>
          <w:color w:val="000000"/>
          <w:szCs w:val="24"/>
        </w:rPr>
        <w:t>,</w:t>
      </w:r>
      <w:r w:rsidR="00AB5B20" w:rsidRPr="001E5D7C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B17E38" w:rsidRPr="001E5D7C">
        <w:rPr>
          <w:rFonts w:ascii="TimesNewRomanPSMT" w:hAnsi="TimesNewRomanPSMT" w:cs="TimesNewRomanPSMT"/>
          <w:color w:val="000000"/>
          <w:szCs w:val="24"/>
        </w:rPr>
        <w:t xml:space="preserve">de </w:t>
      </w:r>
      <w:r w:rsidR="00B17E38" w:rsidRPr="001E5D7C">
        <w:rPr>
          <w:rFonts w:ascii="TimesNewRomanPSMT" w:hAnsi="TimesNewRomanPSMT" w:cs="TimesNewRomanPSMT"/>
          <w:i/>
          <w:color w:val="000000"/>
          <w:szCs w:val="24"/>
        </w:rPr>
        <w:t>100 mots pour dire l’Iran moderne</w:t>
      </w:r>
      <w:r w:rsidR="00B17E38" w:rsidRPr="001E5D7C">
        <w:rPr>
          <w:rFonts w:ascii="TimesNewRomanPSMT" w:hAnsi="TimesNewRomanPSMT" w:cs="TimesNewRomanPSMT"/>
          <w:color w:val="000000"/>
          <w:szCs w:val="24"/>
        </w:rPr>
        <w:t xml:space="preserve"> (Paris, Maisonneuve &amp;</w:t>
      </w:r>
      <w:r w:rsidR="00B17E38" w:rsidRPr="001E5D7C">
        <w:rPr>
          <w:rFonts w:ascii="TimesNewRomanPSMT" w:hAnsi="TimesNewRomanPSMT" w:cs="TimesNewRomanPSMT"/>
          <w:color w:val="000000"/>
          <w:szCs w:val="24"/>
          <w:lang w:val="en-US"/>
        </w:rPr>
        <w:t xml:space="preserve"> Larose, 2003)</w:t>
      </w:r>
      <w:r w:rsidR="00B17E38" w:rsidRPr="001E5D7C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AB5B20" w:rsidRPr="001E5D7C">
        <w:rPr>
          <w:rFonts w:ascii="TimesNewRomanPSMT" w:hAnsi="TimesNewRomanPSMT" w:cs="TimesNewRomanPSMT"/>
          <w:color w:val="000000"/>
          <w:szCs w:val="24"/>
        </w:rPr>
        <w:t xml:space="preserve">et de </w:t>
      </w:r>
      <w:r w:rsidR="00AB5B20" w:rsidRPr="001E5D7C">
        <w:rPr>
          <w:rFonts w:ascii="TimesNewRomanPSMT" w:hAnsi="TimesNewRomanPSMT" w:cs="TimesNewRomanPSMT"/>
          <w:i/>
          <w:iCs/>
          <w:color w:val="000000"/>
          <w:szCs w:val="24"/>
        </w:rPr>
        <w:t>L</w:t>
      </w:r>
      <w:r w:rsidR="00AB5B20" w:rsidRPr="001E5D7C">
        <w:rPr>
          <w:rFonts w:ascii="Helvetica" w:eastAsia="Helvetica" w:hAnsi="Helvetica" w:cs="Helvetica"/>
          <w:i/>
          <w:iCs/>
          <w:color w:val="000000"/>
          <w:szCs w:val="24"/>
        </w:rPr>
        <w:t>’</w:t>
      </w:r>
      <w:r w:rsidR="00AB5B20" w:rsidRPr="001E5D7C">
        <w:rPr>
          <w:rFonts w:ascii="TimesNewRomanPSMT" w:hAnsi="TimesNewRomanPSMT" w:cs="TimesNewRomanPSMT"/>
          <w:i/>
          <w:iCs/>
          <w:color w:val="000000"/>
          <w:szCs w:val="24"/>
        </w:rPr>
        <w:t>Iran de 1800 à nos jours</w:t>
      </w:r>
      <w:r w:rsidR="00AB5B20" w:rsidRPr="001E5D7C">
        <w:rPr>
          <w:rFonts w:ascii="TimesNewRomanPSMT" w:hAnsi="TimesNewRomanPSMT" w:cs="TimesNewRomanPSMT"/>
          <w:color w:val="000000"/>
          <w:szCs w:val="24"/>
        </w:rPr>
        <w:t xml:space="preserve"> (3</w:t>
      </w:r>
      <w:r w:rsidR="00AB5B20" w:rsidRPr="001E5D7C">
        <w:rPr>
          <w:rFonts w:ascii="TimesNewRomanPSMT" w:hAnsi="TimesNewRomanPSMT" w:cs="TimesNewRomanPSMT"/>
          <w:color w:val="000000"/>
          <w:szCs w:val="24"/>
          <w:vertAlign w:val="superscript"/>
        </w:rPr>
        <w:t>ème</w:t>
      </w:r>
      <w:r w:rsidR="00AB5B20" w:rsidRPr="001E5D7C">
        <w:rPr>
          <w:rFonts w:ascii="TimesNewRomanPSMT" w:hAnsi="TimesNewRomanPSMT" w:cs="TimesNewRomanPSMT"/>
          <w:color w:val="000000"/>
          <w:szCs w:val="24"/>
        </w:rPr>
        <w:t xml:space="preserve"> édition revue, Paris, Flammarion, 2016).</w:t>
      </w:r>
    </w:p>
    <w:sectPr w:rsidR="00584948" w:rsidRPr="001E5D7C" w:rsidSect="00227B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575D"/>
    <w:rsid w:val="00002ECA"/>
    <w:rsid w:val="000616C8"/>
    <w:rsid w:val="00073825"/>
    <w:rsid w:val="001259B5"/>
    <w:rsid w:val="001E5D7C"/>
    <w:rsid w:val="00227B6A"/>
    <w:rsid w:val="003510D6"/>
    <w:rsid w:val="00356735"/>
    <w:rsid w:val="00455A8A"/>
    <w:rsid w:val="005737B2"/>
    <w:rsid w:val="00584948"/>
    <w:rsid w:val="0063100E"/>
    <w:rsid w:val="006C38AD"/>
    <w:rsid w:val="00840397"/>
    <w:rsid w:val="00842873"/>
    <w:rsid w:val="009536C9"/>
    <w:rsid w:val="00A147D2"/>
    <w:rsid w:val="00AB5B20"/>
    <w:rsid w:val="00AD2B01"/>
    <w:rsid w:val="00AD4273"/>
    <w:rsid w:val="00B108E6"/>
    <w:rsid w:val="00B17E38"/>
    <w:rsid w:val="00B96B4C"/>
    <w:rsid w:val="00C2073D"/>
    <w:rsid w:val="00C45677"/>
    <w:rsid w:val="00D3575D"/>
    <w:rsid w:val="00D5755B"/>
    <w:rsid w:val="00E67056"/>
    <w:rsid w:val="00EB1CD0"/>
    <w:rsid w:val="00EC1B63"/>
    <w:rsid w:val="00F1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C8"/>
    <w:pPr>
      <w:ind w:firstLine="720"/>
    </w:pPr>
    <w:rPr>
      <w:rFonts w:ascii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616C8"/>
    <w:pPr>
      <w:keepNext/>
      <w:keepLines/>
      <w:spacing w:before="240"/>
      <w:ind w:firstLine="0"/>
      <w:outlineLvl w:val="0"/>
    </w:pPr>
    <w:rPr>
      <w:rFonts w:eastAsiaTheme="majorEastAsia" w:cstheme="majorBidi"/>
      <w:b/>
      <w:smallCaps/>
      <w:color w:val="000000" w:themeColor="text1"/>
      <w:spacing w:val="2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16C8"/>
    <w:pPr>
      <w:keepNext/>
      <w:keepLines/>
      <w:spacing w:before="120"/>
      <w:ind w:firstLine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16C8"/>
    <w:rPr>
      <w:rFonts w:ascii="Times New Roman" w:eastAsiaTheme="majorEastAsia" w:hAnsi="Times New Roman" w:cstheme="majorBidi"/>
      <w:b/>
      <w:smallCaps/>
      <w:color w:val="000000" w:themeColor="text1"/>
      <w:spacing w:val="26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616C8"/>
    <w:rPr>
      <w:rFonts w:ascii="Times New Roman" w:eastAsiaTheme="majorEastAsia" w:hAnsi="Times New Roman" w:cstheme="majorBidi"/>
      <w:color w:val="000000" w:themeColor="text1"/>
      <w:sz w:val="28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0616C8"/>
    <w:pPr>
      <w:ind w:left="720"/>
      <w:contextualSpacing/>
    </w:pPr>
  </w:style>
  <w:style w:type="character" w:styleId="Appelnotedebasdep">
    <w:name w:val="footnote reference"/>
    <w:basedOn w:val="Policepardfaut"/>
    <w:uiPriority w:val="99"/>
    <w:unhideWhenUsed/>
    <w:rsid w:val="00061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C8"/>
    <w:pPr>
      <w:ind w:firstLine="720"/>
    </w:pPr>
    <w:rPr>
      <w:rFonts w:ascii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616C8"/>
    <w:pPr>
      <w:keepNext/>
      <w:keepLines/>
      <w:spacing w:before="240"/>
      <w:ind w:firstLine="0"/>
      <w:outlineLvl w:val="0"/>
    </w:pPr>
    <w:rPr>
      <w:rFonts w:eastAsiaTheme="majorEastAsia" w:cstheme="majorBidi"/>
      <w:b/>
      <w:smallCaps/>
      <w:color w:val="000000" w:themeColor="text1"/>
      <w:spacing w:val="2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16C8"/>
    <w:pPr>
      <w:keepNext/>
      <w:keepLines/>
      <w:spacing w:before="120"/>
      <w:ind w:firstLine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16C8"/>
    <w:rPr>
      <w:rFonts w:ascii="Times New Roman" w:eastAsiaTheme="majorEastAsia" w:hAnsi="Times New Roman" w:cstheme="majorBidi"/>
      <w:b/>
      <w:smallCaps/>
      <w:color w:val="000000" w:themeColor="text1"/>
      <w:spacing w:val="26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616C8"/>
    <w:rPr>
      <w:rFonts w:ascii="Times New Roman" w:eastAsiaTheme="majorEastAsia" w:hAnsi="Times New Roman" w:cstheme="majorBidi"/>
      <w:color w:val="000000" w:themeColor="text1"/>
      <w:sz w:val="28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0616C8"/>
    <w:pPr>
      <w:ind w:left="720"/>
      <w:contextualSpacing/>
    </w:pPr>
  </w:style>
  <w:style w:type="character" w:styleId="Marquenotebasdepage">
    <w:name w:val="footnote reference"/>
    <w:basedOn w:val="Policepardfaut"/>
    <w:uiPriority w:val="99"/>
    <w:unhideWhenUsed/>
    <w:rsid w:val="000616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Richard</dc:creator>
  <cp:lastModifiedBy>Utilisateur Windows</cp:lastModifiedBy>
  <cp:revision>4</cp:revision>
  <dcterms:created xsi:type="dcterms:W3CDTF">2017-11-17T16:27:00Z</dcterms:created>
  <dcterms:modified xsi:type="dcterms:W3CDTF">2017-12-01T12:40:00Z</dcterms:modified>
</cp:coreProperties>
</file>